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31680" w:topFromText="180" w:bottomFromText="180" w:vertAnchor="text" w:horzAnchor="text" w:tblpX="-720" w:tblpY="0"/>
        <w:tblW w:w="15330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45"/>
        <w:gridCol w:w="3615"/>
        <w:gridCol w:w="3285"/>
        <w:gridCol w:w="2760"/>
        <w:gridCol w:w="1575"/>
        <w:gridCol w:w="1950"/>
        <w:tblGridChange w:id="0">
          <w:tblGrid>
            <w:gridCol w:w="2145"/>
            <w:gridCol w:w="3615"/>
            <w:gridCol w:w="3285"/>
            <w:gridCol w:w="2760"/>
            <w:gridCol w:w="1575"/>
            <w:gridCol w:w="1950"/>
          </w:tblGrid>
        </w:tblGridChange>
      </w:tblGrid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omic Sans MS" w:cs="Comic Sans MS" w:eastAsia="Comic Sans MS" w:hAnsi="Comic Sans MS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                                                                       </w:t>
            </w:r>
            <w:r w:rsidDel="00000000" w:rsidR="00000000" w:rsidRPr="00000000">
              <w:drawing>
                <wp:anchor allowOverlap="1" behindDoc="1" distB="0" distT="0" distL="0" distR="0" hidden="0" layoutInCell="1" locked="0" relativeHeight="0" simplePos="0">
                  <wp:simplePos x="0" y="0"/>
                  <wp:positionH relativeFrom="column">
                    <wp:posOffset>6800850</wp:posOffset>
                  </wp:positionH>
                  <wp:positionV relativeFrom="paragraph">
                    <wp:posOffset>0</wp:posOffset>
                  </wp:positionV>
                  <wp:extent cx="1057275" cy="1019175"/>
                  <wp:effectExtent b="0" l="0" r="0" t="0"/>
                  <wp:wrapNone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10191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Comic Sans MS" w:cs="Comic Sans MS" w:eastAsia="Comic Sans MS" w:hAnsi="Comic Sans MS"/>
              </w:rPr>
            </w:pPr>
            <w:bookmarkStart w:colFirst="0" w:colLast="0" w:name="_heading=h.2ovxr21993h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omic Sans MS" w:cs="Comic Sans MS" w:eastAsia="Comic Sans MS" w:hAnsi="Comic Sans MS"/>
              </w:rPr>
            </w:pPr>
            <w:bookmarkStart w:colFirst="0" w:colLast="0" w:name="_heading=h.l7rgtnrno9am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Comic Sans MS" w:cs="Comic Sans MS" w:eastAsia="Comic Sans MS" w:hAnsi="Comic Sans MS"/>
              </w:rPr>
            </w:pPr>
            <w:bookmarkStart w:colFirst="0" w:colLast="0" w:name="_heading=h.mvv9zruy8wgw" w:id="3"/>
            <w:bookmarkEnd w:id="3"/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PLANO DE AÇÃO – CURSO DE GESTÃO ESCOLAR 2024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                                    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                                                                              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0C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Objetivo: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O Plano de Ação do Curso de Gestão Escolar tem como objetivo explanar as ações do gestor, tendo como eixos estruturais a Gestão Administrativa, Gestão Pedagógica, Gestão de Pessoas e Gestão dos Recursos Financeiros. Visa mensurar as ações para a execução do Plano, como uma forma de proposta de trabalho, relacionando as ações do gestor, com as metas e objetivos a serem alcançados.</w:t>
            </w:r>
          </w:p>
          <w:p w:rsidR="00000000" w:rsidDel="00000000" w:rsidP="00000000" w:rsidRDefault="00000000" w:rsidRPr="00000000" w14:paraId="0000000E">
            <w:pPr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 do Candidato (a) : 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Instituição: 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EIXO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Contextualização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METAS 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AÇÕES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PERÍODO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AVALIAÇÃO DAS METAS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GESTÃO ADMINISTRATIVA</w:t>
            </w:r>
          </w:p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Descrição sobre o envolvimento da comunidade escolar, participações nos Conselhos, APMF, divulgação do Projeto Político Pedagógico e Regimento Interno da Instituição, Preservação do patrimônio escolar, espaço, instalações, equipamentos e materiais pedagógicos. Conservação e organização da documentação referente a Instituição. 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GESTÃO DOS RECURSOS FINANCEIROS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Organização dos recursos didáticos disponíveis nos espaços pedagógicos da Escola / CMEI. Aplicação dos recursos financeiros da Instituição, acompanhamento, prestação de contas e avaliação do uso dos recursos, contribuindo com a transparência no processo.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GESTÃO PEDAGÓGICA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Formas de acompanhamento das atividades pedagógicas desenvolvidas pela Equipe Docente, utilização de dados para aprimoramento do processo de avaliação, adaptações curriculares e avaliações externas. Desenvolver ações de fortalecimento de laços, vínculos entre aluno, professor, família e comunidade;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GESTÃO DE PESSOAS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Ações que visem integração entre os profissionais da Instituição, pais, alunos e comunidade. 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Formação continuada em serviço e trocas de experiência vivenciadas.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Práticas de valorização e reconhecimento do trabalho da Equipe Escolar.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426" w:top="142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mic Sans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3D15F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3485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3485F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ltczfHSJxELAy7eTe9QzJ4B3BA==">CgMxLjAyCGguZ2pkZ3hzMg1oLjJvdnhyMjE5OTNoMg5oLmw3cmd0bnJubzlhbTIOaC5tdnY5enJ1eTh3Z3c4AHIhMXZSSEJtYWV3Y3lmRVF4WGhMTWd2ZnNQUm1hSGFHajM3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2024-08-20T19:24:00Z</dcterms:created>
  <dc:creator>71351</dc:creator>
</cp:coreProperties>
</file>